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6EF0" w:rsidRPr="006018BD" w:rsidRDefault="00DC6EF0" w:rsidP="00E2347A">
      <w:pPr>
        <w:jc w:val="center"/>
        <w:rPr>
          <w:rFonts w:cstheme="minorHAnsi"/>
          <w:b/>
          <w:bCs/>
          <w:sz w:val="22"/>
          <w:szCs w:val="22"/>
        </w:rPr>
      </w:pPr>
      <w:r w:rsidRPr="006018BD">
        <w:rPr>
          <w:rFonts w:cstheme="minorHAnsi"/>
          <w:b/>
          <w:bCs/>
          <w:sz w:val="22"/>
          <w:szCs w:val="22"/>
        </w:rPr>
        <w:t>GIVE KIDS A CHANCE ACT, S 2897, HR 3433</w:t>
      </w:r>
    </w:p>
    <w:p w:rsidR="00F23223" w:rsidRPr="006018BD" w:rsidRDefault="00F23223" w:rsidP="00E2347A">
      <w:pPr>
        <w:spacing w:line="276" w:lineRule="auto"/>
        <w:jc w:val="center"/>
        <w:rPr>
          <w:rFonts w:cstheme="minorHAnsi"/>
          <w:b/>
          <w:bCs/>
          <w:i/>
          <w:iCs/>
          <w:sz w:val="22"/>
          <w:szCs w:val="22"/>
        </w:rPr>
      </w:pPr>
      <w:r w:rsidRPr="006018BD">
        <w:rPr>
          <w:rFonts w:cstheme="minorHAnsi"/>
          <w:b/>
          <w:bCs/>
          <w:i/>
          <w:iCs/>
          <w:sz w:val="22"/>
          <w:szCs w:val="22"/>
        </w:rPr>
        <w:t>Saving lives of kids with cancer at zero cost to taxpayers</w:t>
      </w:r>
    </w:p>
    <w:p w:rsidR="00B574B7" w:rsidRPr="006018BD" w:rsidRDefault="00B574B7" w:rsidP="00E2347A">
      <w:pPr>
        <w:spacing w:line="276" w:lineRule="auto"/>
        <w:rPr>
          <w:rFonts w:cstheme="minorHAnsi"/>
          <w:b/>
          <w:bCs/>
          <w:sz w:val="22"/>
          <w:szCs w:val="22"/>
        </w:rPr>
      </w:pPr>
    </w:p>
    <w:p w:rsidR="0064251D" w:rsidRPr="006018BD" w:rsidRDefault="00E2347A" w:rsidP="00E2347A">
      <w:pPr>
        <w:spacing w:line="276" w:lineRule="auto"/>
        <w:rPr>
          <w:rFonts w:cstheme="minorHAnsi"/>
          <w:color w:val="000000" w:themeColor="text1"/>
          <w:sz w:val="22"/>
          <w:szCs w:val="22"/>
        </w:rPr>
      </w:pPr>
      <w:r w:rsidRPr="006018BD">
        <w:rPr>
          <w:rFonts w:cstheme="minorHAnsi"/>
          <w:sz w:val="22"/>
          <w:szCs w:val="22"/>
        </w:rPr>
        <w:t xml:space="preserve">No single new cancer drug will be a new cure for patients who need a cure.  Adults and kids with cancer need </w:t>
      </w:r>
      <w:r w:rsidR="004B3DD4" w:rsidRPr="006018BD">
        <w:rPr>
          <w:rFonts w:cstheme="minorHAnsi"/>
          <w:sz w:val="22"/>
          <w:szCs w:val="22"/>
        </w:rPr>
        <w:t xml:space="preserve">combinations of </w:t>
      </w:r>
      <w:r w:rsidRPr="006018BD">
        <w:rPr>
          <w:rFonts w:cstheme="minorHAnsi"/>
          <w:sz w:val="22"/>
          <w:szCs w:val="22"/>
        </w:rPr>
        <w:t xml:space="preserve">new </w:t>
      </w:r>
      <w:r w:rsidR="004B3DD4" w:rsidRPr="006018BD">
        <w:rPr>
          <w:rFonts w:cstheme="minorHAnsi"/>
          <w:sz w:val="22"/>
          <w:szCs w:val="22"/>
        </w:rPr>
        <w:t xml:space="preserve">cancer drugs </w:t>
      </w:r>
      <w:r w:rsidRPr="006018BD">
        <w:rPr>
          <w:rFonts w:cstheme="minorHAnsi"/>
          <w:sz w:val="22"/>
          <w:szCs w:val="22"/>
        </w:rPr>
        <w:t>for new cures</w:t>
      </w:r>
      <w:r w:rsidR="004B3DD4" w:rsidRPr="006018BD">
        <w:rPr>
          <w:rFonts w:cstheme="minorHAnsi"/>
          <w:color w:val="000000" w:themeColor="text1"/>
          <w:sz w:val="22"/>
          <w:szCs w:val="22"/>
        </w:rPr>
        <w:t>.</w:t>
      </w:r>
      <w:r w:rsidR="004464C5" w:rsidRPr="006018BD">
        <w:rPr>
          <w:rFonts w:cstheme="minorHAnsi"/>
          <w:color w:val="000000" w:themeColor="text1"/>
          <w:sz w:val="22"/>
          <w:szCs w:val="22"/>
        </w:rPr>
        <w:t xml:space="preserve">  </w:t>
      </w:r>
      <w:r w:rsidRPr="006018BD">
        <w:rPr>
          <w:rFonts w:cstheme="minorHAnsi"/>
          <w:color w:val="000000" w:themeColor="text1"/>
          <w:sz w:val="22"/>
          <w:szCs w:val="22"/>
        </w:rPr>
        <w:t>For this reason, from</w:t>
      </w:r>
      <w:r w:rsidR="004B3DD4" w:rsidRPr="006018BD">
        <w:rPr>
          <w:rFonts w:cstheme="minorHAnsi"/>
          <w:color w:val="000000" w:themeColor="text1"/>
          <w:sz w:val="22"/>
          <w:szCs w:val="22"/>
        </w:rPr>
        <w:t xml:space="preserve"> 2020 to 2023</w:t>
      </w:r>
      <w:r w:rsidR="00BB2F54" w:rsidRPr="006018BD">
        <w:rPr>
          <w:rFonts w:cstheme="minorHAnsi"/>
          <w:color w:val="000000" w:themeColor="text1"/>
          <w:sz w:val="22"/>
          <w:szCs w:val="22"/>
        </w:rPr>
        <w:t xml:space="preserve"> </w:t>
      </w:r>
      <w:r w:rsidR="00EF79B0" w:rsidRPr="006018BD">
        <w:rPr>
          <w:rFonts w:cstheme="minorHAnsi"/>
          <w:color w:val="000000" w:themeColor="text1"/>
          <w:sz w:val="22"/>
          <w:szCs w:val="22"/>
        </w:rPr>
        <w:t>the FDA approved 40 combinations of cancer drug</w:t>
      </w:r>
      <w:r w:rsidR="004B3DD4" w:rsidRPr="006018BD">
        <w:rPr>
          <w:rFonts w:cstheme="minorHAnsi"/>
          <w:color w:val="000000" w:themeColor="text1"/>
          <w:sz w:val="22"/>
          <w:szCs w:val="22"/>
        </w:rPr>
        <w:t xml:space="preserve">s for adults </w:t>
      </w:r>
      <w:r w:rsidRPr="006018BD">
        <w:rPr>
          <w:rFonts w:cstheme="minorHAnsi"/>
          <w:color w:val="000000" w:themeColor="text1"/>
          <w:sz w:val="22"/>
          <w:szCs w:val="22"/>
        </w:rPr>
        <w:t>.  However, during that same time, the FDA only approved two new combinations for kids with cancer.  This is a grave problem.  Kids with cancer deserve the same chance to beat cancer that adults have.</w:t>
      </w:r>
      <w:r w:rsidR="0064251D" w:rsidRPr="006018BD">
        <w:rPr>
          <w:rFonts w:cstheme="minorHAnsi"/>
          <w:color w:val="000000" w:themeColor="text1"/>
          <w:sz w:val="22"/>
          <w:szCs w:val="22"/>
        </w:rPr>
        <w:t xml:space="preserve">  </w:t>
      </w:r>
    </w:p>
    <w:p w:rsidR="0064251D" w:rsidRPr="006018BD" w:rsidRDefault="0064251D" w:rsidP="00E2347A">
      <w:pPr>
        <w:spacing w:line="276" w:lineRule="auto"/>
        <w:rPr>
          <w:rFonts w:cstheme="minorHAnsi"/>
          <w:color w:val="000000" w:themeColor="text1"/>
          <w:sz w:val="22"/>
          <w:szCs w:val="22"/>
        </w:rPr>
      </w:pPr>
    </w:p>
    <w:p w:rsidR="006018BD" w:rsidRPr="006018BD" w:rsidRDefault="00BB2F54" w:rsidP="00E2347A">
      <w:pPr>
        <w:spacing w:line="276" w:lineRule="auto"/>
        <w:rPr>
          <w:rFonts w:cstheme="minorHAnsi"/>
          <w:b/>
          <w:bCs/>
          <w:color w:val="000000" w:themeColor="text1"/>
          <w:sz w:val="22"/>
          <w:szCs w:val="22"/>
        </w:rPr>
      </w:pPr>
      <w:r w:rsidRPr="006018BD">
        <w:rPr>
          <w:rFonts w:cstheme="minorHAnsi"/>
          <w:b/>
          <w:bCs/>
          <w:color w:val="000000" w:themeColor="text1"/>
          <w:sz w:val="22"/>
          <w:szCs w:val="22"/>
        </w:rPr>
        <w:t xml:space="preserve">The Give Kids a Chance Act will provide for </w:t>
      </w:r>
      <w:r w:rsidR="00E2347A" w:rsidRPr="006018BD">
        <w:rPr>
          <w:rFonts w:cstheme="minorHAnsi"/>
          <w:b/>
          <w:bCs/>
          <w:color w:val="000000" w:themeColor="text1"/>
          <w:sz w:val="22"/>
          <w:szCs w:val="22"/>
        </w:rPr>
        <w:t xml:space="preserve">clinical </w:t>
      </w:r>
      <w:r w:rsidRPr="006018BD">
        <w:rPr>
          <w:rFonts w:cstheme="minorHAnsi"/>
          <w:b/>
          <w:bCs/>
          <w:color w:val="000000" w:themeColor="text1"/>
          <w:sz w:val="22"/>
          <w:szCs w:val="22"/>
        </w:rPr>
        <w:t xml:space="preserve">studies of </w:t>
      </w:r>
      <w:r w:rsidR="00E2347A" w:rsidRPr="006018BD">
        <w:rPr>
          <w:rFonts w:cstheme="minorHAnsi"/>
          <w:b/>
          <w:bCs/>
          <w:color w:val="000000" w:themeColor="text1"/>
          <w:sz w:val="22"/>
          <w:szCs w:val="22"/>
        </w:rPr>
        <w:t xml:space="preserve">combinations of </w:t>
      </w:r>
      <w:r w:rsidRPr="006018BD">
        <w:rPr>
          <w:rFonts w:cstheme="minorHAnsi"/>
          <w:b/>
          <w:bCs/>
          <w:color w:val="000000" w:themeColor="text1"/>
          <w:sz w:val="22"/>
          <w:szCs w:val="22"/>
        </w:rPr>
        <w:t xml:space="preserve">new cancer drugs so </w:t>
      </w:r>
      <w:r w:rsidR="00E2347A" w:rsidRPr="006018BD">
        <w:rPr>
          <w:rFonts w:cstheme="minorHAnsi"/>
          <w:b/>
          <w:bCs/>
          <w:color w:val="000000" w:themeColor="text1"/>
          <w:sz w:val="22"/>
          <w:szCs w:val="22"/>
        </w:rPr>
        <w:t>new cures can be found for kids with cancer.</w:t>
      </w:r>
      <w:r w:rsidR="0064251D" w:rsidRPr="006018BD">
        <w:rPr>
          <w:rFonts w:cstheme="minorHAnsi"/>
          <w:b/>
          <w:bCs/>
          <w:color w:val="000000" w:themeColor="text1"/>
          <w:sz w:val="22"/>
          <w:szCs w:val="22"/>
        </w:rPr>
        <w:t xml:space="preserve">  </w:t>
      </w:r>
    </w:p>
    <w:p w:rsidR="006018BD" w:rsidRPr="006018BD" w:rsidRDefault="006018BD" w:rsidP="00E2347A">
      <w:pPr>
        <w:spacing w:line="276" w:lineRule="auto"/>
        <w:rPr>
          <w:rFonts w:cstheme="minorHAnsi"/>
          <w:b/>
          <w:bCs/>
          <w:color w:val="000000" w:themeColor="text1"/>
          <w:sz w:val="22"/>
          <w:szCs w:val="22"/>
        </w:rPr>
      </w:pPr>
    </w:p>
    <w:p w:rsidR="00365802" w:rsidRPr="006018BD" w:rsidRDefault="006018BD" w:rsidP="00E2347A">
      <w:pPr>
        <w:spacing w:line="276" w:lineRule="auto"/>
        <w:rPr>
          <w:rFonts w:cstheme="minorHAnsi"/>
          <w:b/>
          <w:bCs/>
          <w:color w:val="000000" w:themeColor="text1"/>
          <w:sz w:val="22"/>
          <w:szCs w:val="22"/>
          <w:u w:val="single"/>
        </w:rPr>
      </w:pPr>
      <w:r w:rsidRPr="006018BD">
        <w:rPr>
          <w:rFonts w:cstheme="minorHAnsi"/>
          <w:b/>
          <w:bCs/>
          <w:color w:val="000000" w:themeColor="text1"/>
          <w:sz w:val="22"/>
          <w:szCs w:val="22"/>
          <w:u w:val="single"/>
        </w:rPr>
        <w:t>The</w:t>
      </w:r>
      <w:r w:rsidR="0064251D" w:rsidRPr="006018BD">
        <w:rPr>
          <w:rFonts w:cstheme="minorHAnsi"/>
          <w:color w:val="000000" w:themeColor="text1"/>
          <w:sz w:val="22"/>
          <w:szCs w:val="22"/>
          <w:u w:val="single"/>
        </w:rPr>
        <w:t xml:space="preserve"> </w:t>
      </w:r>
      <w:r w:rsidR="00365802" w:rsidRPr="006018BD">
        <w:rPr>
          <w:rFonts w:cstheme="minorHAnsi"/>
          <w:b/>
          <w:bCs/>
          <w:sz w:val="22"/>
          <w:szCs w:val="22"/>
          <w:u w:val="single"/>
        </w:rPr>
        <w:t xml:space="preserve">Give Kids a Chance Act will cost </w:t>
      </w:r>
      <w:r w:rsidR="00365802" w:rsidRPr="006018BD">
        <w:rPr>
          <w:rFonts w:cstheme="minorHAnsi"/>
          <w:b/>
          <w:bCs/>
          <w:color w:val="000000" w:themeColor="text1"/>
          <w:sz w:val="22"/>
          <w:szCs w:val="22"/>
          <w:u w:val="single"/>
        </w:rPr>
        <w:t>taxpayers $0.</w:t>
      </w:r>
    </w:p>
    <w:p w:rsidR="00E2347A" w:rsidRPr="006018BD" w:rsidRDefault="00E2347A" w:rsidP="00E2347A">
      <w:pPr>
        <w:spacing w:line="276" w:lineRule="auto"/>
        <w:rPr>
          <w:rFonts w:cstheme="minorHAnsi"/>
          <w:b/>
          <w:bCs/>
          <w:sz w:val="22"/>
          <w:szCs w:val="22"/>
        </w:rPr>
      </w:pPr>
    </w:p>
    <w:p w:rsidR="00E2347A" w:rsidRPr="006018BD" w:rsidRDefault="00E2347A" w:rsidP="00E2347A">
      <w:pPr>
        <w:spacing w:line="276" w:lineRule="auto"/>
        <w:rPr>
          <w:rFonts w:cstheme="minorHAnsi"/>
          <w:b/>
          <w:bCs/>
          <w:sz w:val="22"/>
          <w:szCs w:val="22"/>
        </w:rPr>
      </w:pPr>
      <w:r w:rsidRPr="006018BD">
        <w:rPr>
          <w:rFonts w:cstheme="minorHAnsi"/>
          <w:b/>
          <w:bCs/>
          <w:sz w:val="22"/>
          <w:szCs w:val="22"/>
        </w:rPr>
        <w:t>Passed in the House in the 117</w:t>
      </w:r>
      <w:r w:rsidRPr="006018BD">
        <w:rPr>
          <w:rFonts w:cstheme="minorHAnsi"/>
          <w:b/>
          <w:bCs/>
          <w:sz w:val="22"/>
          <w:szCs w:val="22"/>
          <w:vertAlign w:val="superscript"/>
        </w:rPr>
        <w:t>th</w:t>
      </w:r>
      <w:r w:rsidRPr="006018BD">
        <w:rPr>
          <w:rFonts w:cstheme="minorHAnsi"/>
          <w:b/>
          <w:bCs/>
          <w:sz w:val="22"/>
          <w:szCs w:val="22"/>
        </w:rPr>
        <w:t xml:space="preserve"> Congress</w:t>
      </w:r>
      <w:r w:rsidR="00C754FC">
        <w:rPr>
          <w:rFonts w:cstheme="minorHAnsi"/>
          <w:b/>
          <w:bCs/>
          <w:sz w:val="22"/>
          <w:szCs w:val="22"/>
        </w:rPr>
        <w:t xml:space="preserve">.  </w:t>
      </w:r>
      <w:r w:rsidR="00C754FC" w:rsidRPr="006018BD">
        <w:rPr>
          <w:rFonts w:cstheme="minorHAnsi"/>
          <w:b/>
          <w:bCs/>
          <w:sz w:val="22"/>
          <w:szCs w:val="22"/>
        </w:rPr>
        <w:t>18</w:t>
      </w:r>
      <w:r w:rsidR="00C754FC">
        <w:rPr>
          <w:rFonts w:cstheme="minorHAnsi"/>
          <w:b/>
          <w:bCs/>
          <w:sz w:val="22"/>
          <w:szCs w:val="22"/>
        </w:rPr>
        <w:t>5</w:t>
      </w:r>
      <w:r w:rsidR="00C754FC" w:rsidRPr="006018BD">
        <w:rPr>
          <w:rFonts w:cstheme="minorHAnsi"/>
          <w:b/>
          <w:bCs/>
          <w:sz w:val="22"/>
          <w:szCs w:val="22"/>
        </w:rPr>
        <w:t xml:space="preserve"> bipartisan cosponsors</w:t>
      </w:r>
      <w:r w:rsidR="00C754FC">
        <w:rPr>
          <w:rFonts w:cstheme="minorHAnsi"/>
          <w:b/>
          <w:bCs/>
          <w:sz w:val="22"/>
          <w:szCs w:val="22"/>
        </w:rPr>
        <w:t xml:space="preserve"> in the 118</w:t>
      </w:r>
      <w:r w:rsidR="00C754FC" w:rsidRPr="00C754FC">
        <w:rPr>
          <w:rFonts w:cstheme="minorHAnsi"/>
          <w:b/>
          <w:bCs/>
          <w:sz w:val="22"/>
          <w:szCs w:val="22"/>
          <w:vertAlign w:val="superscript"/>
        </w:rPr>
        <w:t>th</w:t>
      </w:r>
      <w:r w:rsidR="00C754FC">
        <w:rPr>
          <w:rFonts w:cstheme="minorHAnsi"/>
          <w:b/>
          <w:bCs/>
          <w:sz w:val="22"/>
          <w:szCs w:val="22"/>
        </w:rPr>
        <w:t xml:space="preserve"> Congress.</w:t>
      </w:r>
    </w:p>
    <w:p w:rsidR="0064251D" w:rsidRDefault="0064251D" w:rsidP="00E2347A">
      <w:pPr>
        <w:spacing w:line="276" w:lineRule="auto"/>
        <w:rPr>
          <w:rFonts w:cstheme="minorHAnsi"/>
          <w:sz w:val="22"/>
          <w:szCs w:val="22"/>
        </w:rPr>
      </w:pPr>
      <w:r w:rsidRPr="006018BD">
        <w:rPr>
          <w:rFonts w:cstheme="minorHAnsi"/>
          <w:sz w:val="22"/>
          <w:szCs w:val="22"/>
        </w:rPr>
        <w:t>The Give Kids a Chance Act has 18</w:t>
      </w:r>
      <w:r w:rsidR="00C754FC">
        <w:rPr>
          <w:rFonts w:cstheme="minorHAnsi"/>
          <w:sz w:val="22"/>
          <w:szCs w:val="22"/>
        </w:rPr>
        <w:t>5</w:t>
      </w:r>
      <w:r w:rsidRPr="006018BD">
        <w:rPr>
          <w:rFonts w:cstheme="minorHAnsi"/>
          <w:sz w:val="22"/>
          <w:szCs w:val="22"/>
        </w:rPr>
        <w:t xml:space="preserve"> bipartisan cosponsors.  Among </w:t>
      </w:r>
      <w:r w:rsidR="006018BD">
        <w:rPr>
          <w:rFonts w:cstheme="minorHAnsi"/>
          <w:sz w:val="22"/>
          <w:szCs w:val="22"/>
        </w:rPr>
        <w:t>the</w:t>
      </w:r>
      <w:r w:rsidRPr="006018BD">
        <w:rPr>
          <w:rFonts w:cstheme="minorHAnsi"/>
          <w:sz w:val="22"/>
          <w:szCs w:val="22"/>
        </w:rPr>
        <w:t xml:space="preserve"> 9,000 bills before the 118</w:t>
      </w:r>
      <w:r w:rsidRPr="006018BD">
        <w:rPr>
          <w:rFonts w:cstheme="minorHAnsi"/>
          <w:sz w:val="22"/>
          <w:szCs w:val="22"/>
          <w:vertAlign w:val="superscript"/>
        </w:rPr>
        <w:t>th</w:t>
      </w:r>
      <w:r w:rsidRPr="006018BD">
        <w:rPr>
          <w:rFonts w:cstheme="minorHAnsi"/>
          <w:sz w:val="22"/>
          <w:szCs w:val="22"/>
        </w:rPr>
        <w:t xml:space="preserve"> Congress, it is one of the top 35 most cosponsored </w:t>
      </w:r>
      <w:r w:rsidR="006018BD">
        <w:rPr>
          <w:rFonts w:cstheme="minorHAnsi"/>
          <w:sz w:val="22"/>
          <w:szCs w:val="22"/>
        </w:rPr>
        <w:t xml:space="preserve">bipartisan </w:t>
      </w:r>
      <w:r w:rsidRPr="006018BD">
        <w:rPr>
          <w:rFonts w:cstheme="minorHAnsi"/>
          <w:sz w:val="22"/>
          <w:szCs w:val="22"/>
        </w:rPr>
        <w:t xml:space="preserve">bills </w:t>
      </w:r>
      <w:r w:rsidR="006018BD">
        <w:rPr>
          <w:rFonts w:cstheme="minorHAnsi"/>
          <w:sz w:val="22"/>
          <w:szCs w:val="22"/>
        </w:rPr>
        <w:t>.</w:t>
      </w:r>
    </w:p>
    <w:p w:rsidR="006018BD" w:rsidRPr="006018BD" w:rsidRDefault="006018BD" w:rsidP="00E2347A">
      <w:pPr>
        <w:spacing w:line="276" w:lineRule="auto"/>
        <w:rPr>
          <w:rFonts w:cstheme="minorHAnsi"/>
          <w:sz w:val="22"/>
          <w:szCs w:val="22"/>
        </w:rPr>
      </w:pPr>
    </w:p>
    <w:p w:rsidR="00E2347A" w:rsidRPr="006018BD" w:rsidRDefault="00E2347A" w:rsidP="00E2347A">
      <w:pPr>
        <w:spacing w:line="276" w:lineRule="auto"/>
        <w:rPr>
          <w:rFonts w:cstheme="minorHAnsi"/>
          <w:sz w:val="22"/>
          <w:szCs w:val="22"/>
        </w:rPr>
      </w:pPr>
      <w:r w:rsidRPr="006018BD">
        <w:rPr>
          <w:rFonts w:cstheme="minorHAnsi"/>
          <w:sz w:val="22"/>
          <w:szCs w:val="22"/>
        </w:rPr>
        <w:t>The Give Kids a Chance Act was pass in the 117</w:t>
      </w:r>
      <w:r w:rsidRPr="006018BD">
        <w:rPr>
          <w:rFonts w:cstheme="minorHAnsi"/>
          <w:sz w:val="22"/>
          <w:szCs w:val="22"/>
          <w:vertAlign w:val="superscript"/>
        </w:rPr>
        <w:t>th</w:t>
      </w:r>
      <w:r w:rsidRPr="006018BD">
        <w:rPr>
          <w:rFonts w:cstheme="minorHAnsi"/>
          <w:sz w:val="22"/>
          <w:szCs w:val="22"/>
        </w:rPr>
        <w:t xml:space="preserve"> Congress as part of an FDA PDUFA bill, HR 7667.  However, the Senate companion to the FDA PDUFA bill was passed “clean,” stripped of all riders.  Representatives McCaul and Eshoo, and Senators Bennet and Rubio have reintroduced the Give Kids a Chance Act with the exact same language in this 118</w:t>
      </w:r>
      <w:r w:rsidRPr="006018BD">
        <w:rPr>
          <w:rFonts w:cstheme="minorHAnsi"/>
          <w:sz w:val="22"/>
          <w:szCs w:val="22"/>
          <w:vertAlign w:val="superscript"/>
        </w:rPr>
        <w:t>th</w:t>
      </w:r>
      <w:r w:rsidRPr="006018BD">
        <w:rPr>
          <w:rFonts w:cstheme="minorHAnsi"/>
          <w:sz w:val="22"/>
          <w:szCs w:val="22"/>
        </w:rPr>
        <w:t xml:space="preserve"> Congress.</w:t>
      </w:r>
    </w:p>
    <w:p w:rsidR="00A81229" w:rsidRPr="006018BD" w:rsidRDefault="00A81229" w:rsidP="00E2347A">
      <w:pPr>
        <w:spacing w:line="276" w:lineRule="auto"/>
        <w:rPr>
          <w:rStyle w:val="Hyperlink"/>
          <w:rFonts w:cstheme="minorHAnsi"/>
          <w:sz w:val="22"/>
          <w:szCs w:val="22"/>
        </w:rPr>
      </w:pPr>
    </w:p>
    <w:p w:rsidR="00B20EAF" w:rsidRPr="006018BD" w:rsidRDefault="00D96C88" w:rsidP="00E2347A">
      <w:pPr>
        <w:spacing w:line="276" w:lineRule="auto"/>
        <w:rPr>
          <w:rFonts w:cstheme="minorHAnsi"/>
          <w:b/>
          <w:bCs/>
          <w:sz w:val="22"/>
          <w:szCs w:val="22"/>
        </w:rPr>
      </w:pPr>
      <w:r w:rsidRPr="006018BD">
        <w:rPr>
          <w:rFonts w:cstheme="minorHAnsi"/>
          <w:b/>
          <w:bCs/>
          <w:sz w:val="22"/>
          <w:szCs w:val="22"/>
        </w:rPr>
        <w:t>Amends</w:t>
      </w:r>
      <w:r w:rsidR="004A747A" w:rsidRPr="006018BD">
        <w:rPr>
          <w:rFonts w:cstheme="minorHAnsi"/>
          <w:b/>
          <w:bCs/>
          <w:sz w:val="22"/>
          <w:szCs w:val="22"/>
        </w:rPr>
        <w:t xml:space="preserve"> the RACE for Children Act </w:t>
      </w:r>
    </w:p>
    <w:p w:rsidR="00E2347A" w:rsidRPr="006018BD" w:rsidRDefault="00E2347A" w:rsidP="00E2347A">
      <w:pPr>
        <w:spacing w:line="276" w:lineRule="auto"/>
        <w:rPr>
          <w:rFonts w:cstheme="minorHAnsi"/>
          <w:color w:val="212E21"/>
          <w:spacing w:val="3"/>
          <w:sz w:val="22"/>
          <w:szCs w:val="22"/>
          <w:shd w:val="clear" w:color="auto" w:fill="FFFFFF"/>
        </w:rPr>
      </w:pPr>
      <w:r w:rsidRPr="006018BD">
        <w:rPr>
          <w:rFonts w:cstheme="minorHAnsi"/>
          <w:color w:val="212E21"/>
          <w:spacing w:val="3"/>
          <w:sz w:val="22"/>
          <w:szCs w:val="22"/>
          <w:shd w:val="clear" w:color="auto" w:fill="FFFFFF"/>
        </w:rPr>
        <w:t xml:space="preserve">In 2003, Congress passed the Pediatric Research Equity Act (PREA) authorizing the FDA to ask companies to undertake pediatric studies of their new drugs.  However, PREA did not apply to cancer drugs.   </w:t>
      </w:r>
      <w:r w:rsidR="00365802" w:rsidRPr="006018BD">
        <w:rPr>
          <w:rFonts w:cstheme="minorHAnsi"/>
          <w:color w:val="212E21"/>
          <w:spacing w:val="3"/>
          <w:sz w:val="22"/>
          <w:szCs w:val="22"/>
          <w:shd w:val="clear" w:color="auto" w:fill="FFFFFF"/>
        </w:rPr>
        <w:t xml:space="preserve">In 2017, Congress passed the RACE for Children Act, </w:t>
      </w:r>
      <w:r w:rsidR="0064251D" w:rsidRPr="006018BD">
        <w:rPr>
          <w:rFonts w:cstheme="minorHAnsi"/>
          <w:color w:val="212E21"/>
          <w:spacing w:val="3"/>
          <w:sz w:val="22"/>
          <w:szCs w:val="22"/>
          <w:shd w:val="clear" w:color="auto" w:fill="FFFFFF"/>
        </w:rPr>
        <w:t>extending PREA to cancer drugs</w:t>
      </w:r>
      <w:r w:rsidR="00365802" w:rsidRPr="006018BD">
        <w:rPr>
          <w:rFonts w:cstheme="minorHAnsi"/>
          <w:color w:val="212E21"/>
          <w:spacing w:val="3"/>
          <w:sz w:val="22"/>
          <w:szCs w:val="22"/>
          <w:shd w:val="clear" w:color="auto" w:fill="FFFFFF"/>
        </w:rPr>
        <w:t xml:space="preserve">.  </w:t>
      </w:r>
      <w:r w:rsidRPr="006018BD">
        <w:rPr>
          <w:rFonts w:cstheme="minorHAnsi"/>
          <w:color w:val="212E21"/>
          <w:spacing w:val="3"/>
          <w:sz w:val="22"/>
          <w:szCs w:val="22"/>
          <w:shd w:val="clear" w:color="auto" w:fill="FFFFFF"/>
        </w:rPr>
        <w:t>This has been critical</w:t>
      </w:r>
      <w:r w:rsidR="006018BD">
        <w:rPr>
          <w:rFonts w:cstheme="minorHAnsi"/>
          <w:color w:val="212E21"/>
          <w:spacing w:val="3"/>
          <w:sz w:val="22"/>
          <w:szCs w:val="22"/>
          <w:shd w:val="clear" w:color="auto" w:fill="FFFFFF"/>
        </w:rPr>
        <w:t xml:space="preserve"> -- w</w:t>
      </w:r>
      <w:r w:rsidRPr="006018BD">
        <w:rPr>
          <w:rFonts w:cstheme="minorHAnsi"/>
          <w:color w:val="212E21"/>
          <w:spacing w:val="3"/>
          <w:sz w:val="22"/>
          <w:szCs w:val="22"/>
          <w:shd w:val="clear" w:color="auto" w:fill="FFFFFF"/>
        </w:rPr>
        <w:t xml:space="preserve">hereas only a handful of new cancer drugs were studied in kids before the RACE </w:t>
      </w:r>
      <w:r w:rsidR="0064251D" w:rsidRPr="006018BD">
        <w:rPr>
          <w:rFonts w:cstheme="minorHAnsi"/>
          <w:color w:val="212E21"/>
          <w:spacing w:val="3"/>
          <w:sz w:val="22"/>
          <w:szCs w:val="22"/>
          <w:shd w:val="clear" w:color="auto" w:fill="FFFFFF"/>
        </w:rPr>
        <w:t xml:space="preserve">for Children </w:t>
      </w:r>
      <w:r w:rsidRPr="006018BD">
        <w:rPr>
          <w:rFonts w:cstheme="minorHAnsi"/>
          <w:color w:val="212E21"/>
          <w:spacing w:val="3"/>
          <w:sz w:val="22"/>
          <w:szCs w:val="22"/>
          <w:shd w:val="clear" w:color="auto" w:fill="FFFFFF"/>
        </w:rPr>
        <w:t xml:space="preserve">Act, now over 85% of new cancer drugs that are relevant to children’s cancers have pediatric study plans.  </w:t>
      </w:r>
    </w:p>
    <w:p w:rsidR="00E2347A" w:rsidRPr="006018BD" w:rsidRDefault="00E2347A" w:rsidP="00E2347A">
      <w:pPr>
        <w:spacing w:line="276" w:lineRule="auto"/>
        <w:rPr>
          <w:rFonts w:cstheme="minorHAnsi"/>
          <w:color w:val="212E21"/>
          <w:spacing w:val="3"/>
          <w:sz w:val="22"/>
          <w:szCs w:val="22"/>
          <w:shd w:val="clear" w:color="auto" w:fill="FFFFFF"/>
        </w:rPr>
      </w:pPr>
    </w:p>
    <w:p w:rsidR="00871379" w:rsidRPr="006018BD" w:rsidRDefault="00E2347A" w:rsidP="00E2347A">
      <w:pPr>
        <w:spacing w:line="276" w:lineRule="auto"/>
        <w:rPr>
          <w:rFonts w:cstheme="minorHAnsi"/>
          <w:color w:val="212E21"/>
          <w:spacing w:val="3"/>
          <w:sz w:val="22"/>
          <w:szCs w:val="22"/>
          <w:shd w:val="clear" w:color="auto" w:fill="FFFFFF"/>
        </w:rPr>
      </w:pPr>
      <w:r w:rsidRPr="006018BD">
        <w:rPr>
          <w:rFonts w:cstheme="minorHAnsi"/>
          <w:color w:val="212E21"/>
          <w:spacing w:val="3"/>
          <w:sz w:val="22"/>
          <w:szCs w:val="22"/>
          <w:shd w:val="clear" w:color="auto" w:fill="FFFFFF"/>
        </w:rPr>
        <w:t xml:space="preserve">However, the </w:t>
      </w:r>
      <w:r w:rsidR="00365802" w:rsidRPr="006018BD">
        <w:rPr>
          <w:rFonts w:cstheme="minorHAnsi"/>
          <w:color w:val="212E21"/>
          <w:spacing w:val="3"/>
          <w:sz w:val="22"/>
          <w:szCs w:val="22"/>
          <w:shd w:val="clear" w:color="auto" w:fill="FFFFFF"/>
        </w:rPr>
        <w:t>RACE for Children Act only applies to single</w:t>
      </w:r>
      <w:r w:rsidR="00BB2F54" w:rsidRPr="006018BD">
        <w:rPr>
          <w:rFonts w:cstheme="minorHAnsi"/>
          <w:color w:val="212E21"/>
          <w:spacing w:val="3"/>
          <w:sz w:val="22"/>
          <w:szCs w:val="22"/>
          <w:shd w:val="clear" w:color="auto" w:fill="FFFFFF"/>
        </w:rPr>
        <w:t>-</w:t>
      </w:r>
      <w:r w:rsidR="00365802" w:rsidRPr="006018BD">
        <w:rPr>
          <w:rFonts w:cstheme="minorHAnsi"/>
          <w:color w:val="212E21"/>
          <w:spacing w:val="3"/>
          <w:sz w:val="22"/>
          <w:szCs w:val="22"/>
          <w:shd w:val="clear" w:color="auto" w:fill="FFFFFF"/>
        </w:rPr>
        <w:t>drug studies</w:t>
      </w:r>
      <w:r w:rsidR="0064251D" w:rsidRPr="006018BD">
        <w:rPr>
          <w:rFonts w:cstheme="minorHAnsi"/>
          <w:color w:val="212E21"/>
          <w:spacing w:val="3"/>
          <w:sz w:val="22"/>
          <w:szCs w:val="22"/>
          <w:shd w:val="clear" w:color="auto" w:fill="FFFFFF"/>
        </w:rPr>
        <w:t>, which are rarely curative</w:t>
      </w:r>
      <w:r w:rsidR="00BB2F54" w:rsidRPr="006018BD">
        <w:rPr>
          <w:rFonts w:cstheme="minorHAnsi"/>
          <w:color w:val="212E21"/>
          <w:spacing w:val="3"/>
          <w:sz w:val="22"/>
          <w:szCs w:val="22"/>
          <w:shd w:val="clear" w:color="auto" w:fill="FFFFFF"/>
        </w:rPr>
        <w:t xml:space="preserve">.  </w:t>
      </w:r>
      <w:r w:rsidR="00B20EAF" w:rsidRPr="006018BD">
        <w:rPr>
          <w:rFonts w:cstheme="minorHAnsi"/>
          <w:color w:val="212E21"/>
          <w:spacing w:val="3"/>
          <w:sz w:val="22"/>
          <w:szCs w:val="22"/>
          <w:shd w:val="clear" w:color="auto" w:fill="FFFFFF"/>
        </w:rPr>
        <w:t xml:space="preserve">The Give Kids a Chance Act </w:t>
      </w:r>
      <w:r w:rsidR="0038529C" w:rsidRPr="006018BD">
        <w:rPr>
          <w:rFonts w:cstheme="minorHAnsi"/>
          <w:color w:val="212E21"/>
          <w:spacing w:val="3"/>
          <w:sz w:val="22"/>
          <w:szCs w:val="22"/>
          <w:shd w:val="clear" w:color="auto" w:fill="FFFFFF"/>
        </w:rPr>
        <w:t xml:space="preserve">extends the RACE for Children Act </w:t>
      </w:r>
      <w:r w:rsidR="006018BD">
        <w:rPr>
          <w:rFonts w:cstheme="minorHAnsi"/>
          <w:color w:val="212E21"/>
          <w:spacing w:val="3"/>
          <w:sz w:val="22"/>
          <w:szCs w:val="22"/>
          <w:shd w:val="clear" w:color="auto" w:fill="FFFFFF"/>
        </w:rPr>
        <w:t xml:space="preserve">to studies of two cancer drugs where the second drug is </w:t>
      </w:r>
      <w:r w:rsidR="0064251D" w:rsidRPr="006018BD">
        <w:rPr>
          <w:rFonts w:cstheme="minorHAnsi"/>
          <w:color w:val="212E21"/>
          <w:spacing w:val="3"/>
          <w:sz w:val="22"/>
          <w:szCs w:val="22"/>
          <w:shd w:val="clear" w:color="auto" w:fill="FFFFFF"/>
        </w:rPr>
        <w:t xml:space="preserve">FDA approved and </w:t>
      </w:r>
      <w:r w:rsidR="006018BD">
        <w:rPr>
          <w:rFonts w:cstheme="minorHAnsi"/>
          <w:color w:val="212E21"/>
          <w:spacing w:val="3"/>
          <w:sz w:val="22"/>
          <w:szCs w:val="22"/>
          <w:shd w:val="clear" w:color="auto" w:fill="FFFFFF"/>
        </w:rPr>
        <w:t>owned by the company.</w:t>
      </w:r>
    </w:p>
    <w:p w:rsidR="0064251D" w:rsidRPr="006018BD" w:rsidRDefault="0064251D" w:rsidP="00E2347A">
      <w:pPr>
        <w:spacing w:line="276" w:lineRule="auto"/>
        <w:rPr>
          <w:rFonts w:cstheme="minorHAnsi"/>
          <w:sz w:val="22"/>
          <w:szCs w:val="22"/>
        </w:rPr>
      </w:pPr>
    </w:p>
    <w:p w:rsidR="00CE1C7A" w:rsidRPr="006018BD" w:rsidRDefault="00CE1C7A" w:rsidP="00E2347A">
      <w:pPr>
        <w:spacing w:line="276" w:lineRule="auto"/>
        <w:rPr>
          <w:rFonts w:cstheme="minorHAnsi"/>
          <w:b/>
          <w:bCs/>
          <w:sz w:val="22"/>
          <w:szCs w:val="22"/>
        </w:rPr>
      </w:pPr>
      <w:r w:rsidRPr="006018BD">
        <w:rPr>
          <w:rFonts w:cstheme="minorHAnsi"/>
          <w:b/>
          <w:bCs/>
          <w:sz w:val="22"/>
          <w:szCs w:val="22"/>
        </w:rPr>
        <w:t>For more information, please contact</w:t>
      </w:r>
    </w:p>
    <w:p w:rsidR="006018BD" w:rsidRPr="006018BD" w:rsidRDefault="006018BD" w:rsidP="00E2347A">
      <w:pPr>
        <w:spacing w:line="276" w:lineRule="auto"/>
        <w:rPr>
          <w:rFonts w:cstheme="minorHAnsi"/>
          <w:b/>
          <w:bCs/>
          <w:sz w:val="22"/>
          <w:szCs w:val="22"/>
        </w:rPr>
      </w:pPr>
    </w:p>
    <w:tbl>
      <w:tblPr>
        <w:tblStyle w:val="TableGrid"/>
        <w:tblW w:w="10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5924"/>
      </w:tblGrid>
      <w:tr w:rsidR="006018BD" w:rsidRPr="006018BD" w:rsidTr="006018BD">
        <w:tc>
          <w:tcPr>
            <w:tcW w:w="4891" w:type="dxa"/>
          </w:tcPr>
          <w:p w:rsidR="006018BD" w:rsidRPr="006018BD" w:rsidRDefault="006018BD" w:rsidP="006018BD">
            <w:pPr>
              <w:spacing w:line="276" w:lineRule="auto"/>
              <w:rPr>
                <w:rFonts w:cstheme="minorHAnsi"/>
                <w:color w:val="000000" w:themeColor="text1"/>
                <w:sz w:val="22"/>
                <w:szCs w:val="22"/>
              </w:rPr>
            </w:pPr>
            <w:r w:rsidRPr="006018BD">
              <w:rPr>
                <w:rFonts w:cstheme="minorHAnsi"/>
                <w:color w:val="000000" w:themeColor="text1"/>
                <w:sz w:val="22"/>
                <w:szCs w:val="22"/>
              </w:rPr>
              <w:t xml:space="preserve">Eric Kim (McCaul) </w:t>
            </w:r>
            <w:hyperlink r:id="rId5" w:history="1">
              <w:r w:rsidRPr="006018BD">
                <w:rPr>
                  <w:rStyle w:val="Hyperlink"/>
                  <w:rFonts w:cstheme="minorHAnsi"/>
                  <w:color w:val="000000" w:themeColor="text1"/>
                  <w:sz w:val="22"/>
                  <w:szCs w:val="22"/>
                </w:rPr>
                <w:t>Eric.Kim@mail.house.gov</w:t>
              </w:r>
            </w:hyperlink>
          </w:p>
          <w:p w:rsidR="006018BD" w:rsidRPr="006018BD" w:rsidRDefault="006018BD" w:rsidP="006018BD">
            <w:pPr>
              <w:spacing w:line="276" w:lineRule="auto"/>
              <w:ind w:right="-353"/>
              <w:rPr>
                <w:rFonts w:cstheme="minorHAnsi"/>
                <w:color w:val="000000" w:themeColor="text1"/>
                <w:sz w:val="22"/>
                <w:szCs w:val="22"/>
              </w:rPr>
            </w:pPr>
            <w:r w:rsidRPr="006018BD">
              <w:rPr>
                <w:rFonts w:cstheme="minorHAnsi"/>
                <w:color w:val="000000" w:themeColor="text1"/>
                <w:sz w:val="22"/>
                <w:szCs w:val="22"/>
              </w:rPr>
              <w:t xml:space="preserve">Jordan </w:t>
            </w:r>
            <w:proofErr w:type="spellStart"/>
            <w:r w:rsidRPr="006018BD">
              <w:rPr>
                <w:rFonts w:cstheme="minorHAnsi"/>
                <w:color w:val="000000" w:themeColor="text1"/>
                <w:sz w:val="22"/>
                <w:szCs w:val="22"/>
              </w:rPr>
              <w:t>Brossi</w:t>
            </w:r>
            <w:proofErr w:type="spellEnd"/>
            <w:r w:rsidRPr="006018BD">
              <w:rPr>
                <w:rFonts w:cstheme="minorHAnsi"/>
                <w:color w:val="000000" w:themeColor="text1"/>
                <w:sz w:val="22"/>
                <w:szCs w:val="22"/>
              </w:rPr>
              <w:t xml:space="preserve"> (Eshoo) </w:t>
            </w:r>
            <w:hyperlink r:id="rId6" w:history="1">
              <w:r w:rsidRPr="006018BD">
                <w:rPr>
                  <w:rStyle w:val="Hyperlink"/>
                  <w:rFonts w:cstheme="minorHAnsi"/>
                  <w:color w:val="000000" w:themeColor="text1"/>
                  <w:sz w:val="22"/>
                  <w:szCs w:val="22"/>
                </w:rPr>
                <w:t>Jordan.Brossi@mail.house.gov</w:t>
              </w:r>
            </w:hyperlink>
            <w:r w:rsidRPr="006018BD">
              <w:rPr>
                <w:rFonts w:cstheme="minorHAnsi"/>
                <w:color w:val="000000" w:themeColor="text1"/>
                <w:sz w:val="22"/>
                <w:szCs w:val="22"/>
              </w:rPr>
              <w:t xml:space="preserve"> </w:t>
            </w:r>
          </w:p>
          <w:p w:rsidR="006018BD" w:rsidRPr="006018BD" w:rsidRDefault="006018BD" w:rsidP="00E2347A">
            <w:pPr>
              <w:spacing w:line="276" w:lineRule="auto"/>
              <w:rPr>
                <w:rFonts w:cstheme="minorHAnsi"/>
                <w:color w:val="000000" w:themeColor="text1"/>
                <w:sz w:val="22"/>
                <w:szCs w:val="22"/>
                <w:u w:val="single"/>
              </w:rPr>
            </w:pPr>
            <w:r w:rsidRPr="006018BD">
              <w:rPr>
                <w:rFonts w:cstheme="minorHAnsi"/>
                <w:color w:val="000000" w:themeColor="text1"/>
                <w:sz w:val="22"/>
                <w:szCs w:val="22"/>
              </w:rPr>
              <w:t xml:space="preserve">Nancy Goodman </w:t>
            </w:r>
            <w:hyperlink r:id="rId7" w:history="1">
              <w:r w:rsidRPr="006018BD">
                <w:rPr>
                  <w:rStyle w:val="Hyperlink"/>
                  <w:rFonts w:cstheme="minorHAnsi"/>
                  <w:color w:val="000000" w:themeColor="text1"/>
                  <w:sz w:val="22"/>
                  <w:szCs w:val="22"/>
                </w:rPr>
                <w:t>nancygoodman@kidsvcancer.org</w:t>
              </w:r>
            </w:hyperlink>
          </w:p>
        </w:tc>
        <w:tc>
          <w:tcPr>
            <w:tcW w:w="5924" w:type="dxa"/>
          </w:tcPr>
          <w:p w:rsidR="006018BD" w:rsidRPr="006018BD" w:rsidRDefault="006018BD" w:rsidP="006018BD">
            <w:pPr>
              <w:spacing w:line="276" w:lineRule="auto"/>
              <w:rPr>
                <w:rFonts w:cstheme="minorHAnsi"/>
                <w:color w:val="222222"/>
                <w:sz w:val="22"/>
                <w:szCs w:val="22"/>
                <w:shd w:val="clear" w:color="auto" w:fill="FFFFFF"/>
              </w:rPr>
            </w:pPr>
            <w:r w:rsidRPr="006018BD">
              <w:rPr>
                <w:rFonts w:cstheme="minorHAnsi"/>
                <w:color w:val="000000" w:themeColor="text1"/>
                <w:sz w:val="22"/>
                <w:szCs w:val="22"/>
              </w:rPr>
              <w:t xml:space="preserve">Santi Gonzalez (Bennet) </w:t>
            </w:r>
            <w:r w:rsidRPr="006018BD">
              <w:rPr>
                <w:rFonts w:cstheme="minorHAnsi"/>
                <w:color w:val="222222"/>
                <w:sz w:val="22"/>
                <w:szCs w:val="22"/>
                <w:shd w:val="clear" w:color="auto" w:fill="FFFFFF"/>
              </w:rPr>
              <w:t>Santiago_Gonzalez@bennet.senate.gov</w:t>
            </w:r>
          </w:p>
          <w:p w:rsidR="006018BD" w:rsidRPr="006018BD" w:rsidRDefault="006018BD" w:rsidP="006018BD">
            <w:pPr>
              <w:spacing w:line="276" w:lineRule="auto"/>
              <w:rPr>
                <w:rFonts w:cstheme="minorHAnsi"/>
                <w:color w:val="000000" w:themeColor="text1"/>
                <w:sz w:val="22"/>
                <w:szCs w:val="22"/>
              </w:rPr>
            </w:pPr>
            <w:r w:rsidRPr="006018BD">
              <w:rPr>
                <w:rFonts w:cstheme="minorHAnsi"/>
                <w:color w:val="000000" w:themeColor="text1"/>
                <w:sz w:val="22"/>
                <w:szCs w:val="22"/>
              </w:rPr>
              <w:t>Nicole Wright (Rubio) Nicole_Wright@rubio.senate.gov</w:t>
            </w:r>
          </w:p>
          <w:p w:rsidR="006018BD" w:rsidRPr="006018BD" w:rsidRDefault="006018BD" w:rsidP="00E2347A">
            <w:pPr>
              <w:spacing w:line="276" w:lineRule="auto"/>
              <w:rPr>
                <w:rFonts w:cstheme="minorHAnsi"/>
                <w:b/>
                <w:bCs/>
                <w:sz w:val="22"/>
                <w:szCs w:val="22"/>
              </w:rPr>
            </w:pPr>
          </w:p>
        </w:tc>
      </w:tr>
    </w:tbl>
    <w:p w:rsidR="006018BD" w:rsidRPr="006018BD" w:rsidRDefault="006018BD" w:rsidP="00E2347A">
      <w:pPr>
        <w:spacing w:line="276" w:lineRule="auto"/>
        <w:rPr>
          <w:b/>
          <w:bCs/>
          <w:sz w:val="22"/>
          <w:szCs w:val="22"/>
        </w:rPr>
      </w:pPr>
    </w:p>
    <w:p w:rsidR="00B20EAF" w:rsidRPr="00B20EAF" w:rsidRDefault="00B20EAF" w:rsidP="00E2347A">
      <w:pPr>
        <w:spacing w:line="276" w:lineRule="auto"/>
        <w:rPr>
          <w:color w:val="2F5496" w:themeColor="accent1" w:themeShade="BF"/>
          <w:u w:val="single"/>
        </w:rPr>
      </w:pPr>
    </w:p>
    <w:p w:rsidR="00365802" w:rsidRDefault="00365802" w:rsidP="00E2347A">
      <w:pPr>
        <w:autoSpaceDE w:val="0"/>
        <w:autoSpaceDN w:val="0"/>
        <w:adjustRightInd w:val="0"/>
        <w:rPr>
          <w:rFonts w:cstheme="minorHAnsi"/>
          <w:i/>
          <w:iCs/>
          <w:color w:val="2F5496" w:themeColor="accent1" w:themeShade="BF"/>
          <w:kern w:val="0"/>
        </w:rPr>
      </w:pPr>
    </w:p>
    <w:p w:rsidR="008E6767" w:rsidRPr="00B20EAF" w:rsidRDefault="006018BD" w:rsidP="00A223D3">
      <w:pPr>
        <w:autoSpaceDE w:val="0"/>
        <w:autoSpaceDN w:val="0"/>
        <w:adjustRightInd w:val="0"/>
        <w:rPr>
          <w:rFonts w:cstheme="minorHAnsi"/>
          <w:i/>
          <w:iCs/>
          <w:color w:val="2F5496" w:themeColor="accent1" w:themeShade="BF"/>
          <w:kern w:val="0"/>
        </w:rPr>
      </w:pPr>
      <w:r>
        <w:rPr>
          <w:rFonts w:cstheme="minorHAnsi"/>
          <w:i/>
          <w:iCs/>
          <w:color w:val="2F5496" w:themeColor="accent1" w:themeShade="BF"/>
          <w:kern w:val="0"/>
        </w:rPr>
        <w:lastRenderedPageBreak/>
        <w:br/>
      </w:r>
      <w:r w:rsidR="008E6767" w:rsidRPr="00B20EAF">
        <w:rPr>
          <w:rFonts w:cstheme="minorHAnsi"/>
          <w:i/>
          <w:iCs/>
          <w:color w:val="2F5496" w:themeColor="accent1" w:themeShade="BF"/>
          <w:kern w:val="0"/>
        </w:rPr>
        <w:t>Advocacy Groups Endorsing the Give Kids a Chance Act</w:t>
      </w:r>
    </w:p>
    <w:p w:rsidR="008E6767" w:rsidRPr="008E6767" w:rsidRDefault="008E6767" w:rsidP="00A223D3">
      <w:pPr>
        <w:autoSpaceDE w:val="0"/>
        <w:autoSpaceDN w:val="0"/>
        <w:adjustRightInd w:val="0"/>
        <w:rPr>
          <w:rFonts w:cstheme="minorHAnsi"/>
          <w:i/>
          <w:iCs/>
          <w:kern w:val="0"/>
        </w:rPr>
      </w:pPr>
    </w:p>
    <w:p w:rsidR="00A223D3" w:rsidRPr="008E6767" w:rsidRDefault="00A223D3" w:rsidP="00A223D3">
      <w:pPr>
        <w:autoSpaceDE w:val="0"/>
        <w:autoSpaceDN w:val="0"/>
        <w:adjustRightInd w:val="0"/>
        <w:rPr>
          <w:rFonts w:cstheme="minorHAnsi"/>
          <w:kern w:val="0"/>
        </w:rPr>
      </w:pPr>
      <w:r w:rsidRPr="008E6767">
        <w:rPr>
          <w:rFonts w:cstheme="minorHAnsi"/>
          <w:kern w:val="0"/>
        </w:rPr>
        <w:t xml:space="preserve">Kids v Cancer, Arms Wide Open, Bear Necessities, cc-TDI, </w:t>
      </w:r>
      <w:proofErr w:type="spellStart"/>
      <w:r w:rsidRPr="008E6767">
        <w:rPr>
          <w:rFonts w:cstheme="minorHAnsi"/>
          <w:kern w:val="0"/>
        </w:rPr>
        <w:t>ChadTough</w:t>
      </w:r>
      <w:proofErr w:type="spellEnd"/>
      <w:r w:rsidRPr="008E6767">
        <w:rPr>
          <w:rFonts w:cstheme="minorHAnsi"/>
          <w:kern w:val="0"/>
        </w:rPr>
        <w:t xml:space="preserve"> Defeat DIPG Foundation, Christina Renna Foundation Inc, Clinton County Progressives, Curing Kids Cancer, DADA2 Foundation, </w:t>
      </w:r>
      <w:proofErr w:type="spellStart"/>
      <w:r w:rsidRPr="008E6767">
        <w:rPr>
          <w:rFonts w:cstheme="minorHAnsi"/>
          <w:kern w:val="0"/>
        </w:rPr>
        <w:t>DanceBlue</w:t>
      </w:r>
      <w:proofErr w:type="spellEnd"/>
      <w:r w:rsidRPr="008E6767">
        <w:rPr>
          <w:rFonts w:cstheme="minorHAnsi"/>
          <w:kern w:val="0"/>
        </w:rPr>
        <w:t xml:space="preserve"> Dragon Master Foundation, Elaine Roberts Foundation, End Kids Cancer, EVAN Foundation, Gabriella’s Smile Foundation, Give Kids The World, Gold In September, Gold Rush Cure Foundation, Grandparents In Action, Hannah’s Cans For Cancer, Hunter’s Cancer Journey, Joey’s Wings Foundation, Kick Childhood Cancer Guild, Live Like John, Love Smiles, Lymphedema Advocacy Group, Mackey Family </w:t>
      </w:r>
      <w:proofErr w:type="spellStart"/>
      <w:r w:rsidRPr="008E6767">
        <w:rPr>
          <w:rFonts w:cstheme="minorHAnsi"/>
          <w:kern w:val="0"/>
        </w:rPr>
        <w:t>Childrens</w:t>
      </w:r>
      <w:proofErr w:type="spellEnd"/>
      <w:r w:rsidRPr="008E6767">
        <w:rPr>
          <w:rFonts w:cstheme="minorHAnsi"/>
          <w:kern w:val="0"/>
        </w:rPr>
        <w:t xml:space="preserve"> Cancer Foundation, Making Headway Foundation, Matthew's Hope 4 Miracles, Maynard Childhood Cancer Foundation, McKenna Claire Foundation, </w:t>
      </w:r>
      <w:proofErr w:type="spellStart"/>
      <w:r w:rsidRPr="008E6767">
        <w:rPr>
          <w:rFonts w:cstheme="minorHAnsi"/>
          <w:kern w:val="0"/>
        </w:rPr>
        <w:t>Musella</w:t>
      </w:r>
      <w:proofErr w:type="spellEnd"/>
      <w:r w:rsidRPr="008E6767">
        <w:rPr>
          <w:rFonts w:cstheme="minorHAnsi"/>
          <w:kern w:val="0"/>
        </w:rPr>
        <w:t xml:space="preserve"> Foundation For Brain Tumor Research &amp; Information, Mystic Force Foundation, Oncology Nursing Society, Oral Health Nursing Education and Practice (OHNEP), Our Amazing Fighters, Pediatric Assessment, Learning &amp; Support, Pediatric Brain Tumor Foundation, Pediatric Cancer Foundation, Phoenix Stone Foundation, PNOC Foundation, Press On Fund, Rally Foundation for Childhood Cancer Research, Rett's Roost, Robby Butlers Super Hero Fund, Sadie Keller Foundation, Shepherd Foundation, </w:t>
      </w:r>
      <w:proofErr w:type="spellStart"/>
      <w:r w:rsidRPr="008E6767">
        <w:rPr>
          <w:rFonts w:cstheme="minorHAnsi"/>
          <w:kern w:val="0"/>
        </w:rPr>
        <w:t>Swifty</w:t>
      </w:r>
      <w:proofErr w:type="spellEnd"/>
      <w:r w:rsidRPr="008E6767">
        <w:rPr>
          <w:rFonts w:cstheme="minorHAnsi"/>
          <w:kern w:val="0"/>
        </w:rPr>
        <w:t xml:space="preserve"> Foundation, Syngap1 Foundation, Team G Childhood Cancer Foundation, Teen Cancer America, The Catherine Elizabeth Blair Memorial Foundation, The Cure Starts Now Foundation, The Gold Hope Project, The Kortney Rose Foundation, The </w:t>
      </w:r>
      <w:proofErr w:type="spellStart"/>
      <w:r w:rsidRPr="008E6767">
        <w:rPr>
          <w:rFonts w:cstheme="minorHAnsi"/>
          <w:kern w:val="0"/>
        </w:rPr>
        <w:t>Lilabean</w:t>
      </w:r>
      <w:proofErr w:type="spellEnd"/>
      <w:r w:rsidRPr="008E6767">
        <w:rPr>
          <w:rFonts w:cstheme="minorHAnsi"/>
          <w:kern w:val="0"/>
        </w:rPr>
        <w:t xml:space="preserve"> Foundation for Pediatric Brain Cancer Research, The Maeve McNicholas Memorial Foundation, The Max Cure Foundation, The Scott Carter Foundation, The Taylor Matthews Foundation, The Valerie Fund, Truth 365, Unravel Pediatric Cancer, Until 20, West Virginia Kids Cancer Crusaders, William's Warriors, Wyatt's Warriors, Wylie's Day Foundation, Yusef’s Legacy</w:t>
      </w:r>
    </w:p>
    <w:p w:rsidR="008E6767" w:rsidRPr="008E6767" w:rsidRDefault="008E6767" w:rsidP="00A223D3">
      <w:pPr>
        <w:autoSpaceDE w:val="0"/>
        <w:autoSpaceDN w:val="0"/>
        <w:adjustRightInd w:val="0"/>
        <w:rPr>
          <w:rFonts w:cstheme="minorHAnsi"/>
          <w:i/>
          <w:iCs/>
          <w:kern w:val="0"/>
        </w:rPr>
      </w:pPr>
    </w:p>
    <w:p w:rsidR="008E6767" w:rsidRPr="008E6767" w:rsidRDefault="008E6767" w:rsidP="008E6767">
      <w:pPr>
        <w:autoSpaceDE w:val="0"/>
        <w:autoSpaceDN w:val="0"/>
        <w:adjustRightInd w:val="0"/>
        <w:rPr>
          <w:rFonts w:cstheme="minorHAnsi"/>
          <w:i/>
          <w:iCs/>
          <w:kern w:val="0"/>
        </w:rPr>
      </w:pPr>
      <w:r w:rsidRPr="008E6767">
        <w:rPr>
          <w:rFonts w:cstheme="minorHAnsi"/>
          <w:i/>
          <w:iCs/>
          <w:kern w:val="0"/>
        </w:rPr>
        <w:t>Hospitals and Pediatric Cancer Research Consortiums Endorsing the Give Kids a Chance Act</w:t>
      </w:r>
    </w:p>
    <w:p w:rsidR="008E6767" w:rsidRPr="008E6767" w:rsidRDefault="008E6767" w:rsidP="008E6767">
      <w:pPr>
        <w:autoSpaceDE w:val="0"/>
        <w:autoSpaceDN w:val="0"/>
        <w:adjustRightInd w:val="0"/>
        <w:rPr>
          <w:rFonts w:cstheme="minorHAnsi"/>
          <w:i/>
          <w:iCs/>
          <w:kern w:val="0"/>
        </w:rPr>
      </w:pPr>
    </w:p>
    <w:p w:rsidR="008E6767" w:rsidRPr="0055291B" w:rsidRDefault="008E6767" w:rsidP="0055291B">
      <w:pPr>
        <w:pStyle w:val="ListParagraph"/>
        <w:numPr>
          <w:ilvl w:val="0"/>
          <w:numId w:val="7"/>
        </w:numPr>
        <w:autoSpaceDE w:val="0"/>
        <w:autoSpaceDN w:val="0"/>
        <w:adjustRightInd w:val="0"/>
        <w:rPr>
          <w:rFonts w:cstheme="minorHAnsi"/>
          <w:kern w:val="0"/>
        </w:rPr>
      </w:pPr>
      <w:r w:rsidRPr="0055291B">
        <w:rPr>
          <w:rFonts w:cstheme="minorHAnsi"/>
          <w:kern w:val="0"/>
        </w:rPr>
        <w:t>Children’s Hospital Colorado</w:t>
      </w:r>
    </w:p>
    <w:p w:rsidR="008E6767" w:rsidRPr="0055291B" w:rsidRDefault="008E6767" w:rsidP="0055291B">
      <w:pPr>
        <w:pStyle w:val="ListParagraph"/>
        <w:numPr>
          <w:ilvl w:val="0"/>
          <w:numId w:val="7"/>
        </w:numPr>
        <w:autoSpaceDE w:val="0"/>
        <w:autoSpaceDN w:val="0"/>
        <w:adjustRightInd w:val="0"/>
        <w:rPr>
          <w:rFonts w:cstheme="minorHAnsi"/>
          <w:kern w:val="0"/>
        </w:rPr>
      </w:pPr>
      <w:r w:rsidRPr="0055291B">
        <w:rPr>
          <w:rFonts w:cstheme="minorHAnsi"/>
          <w:kern w:val="0"/>
        </w:rPr>
        <w:t>Duke University Medical Center</w:t>
      </w:r>
    </w:p>
    <w:p w:rsidR="008E6767" w:rsidRPr="0055291B" w:rsidRDefault="008E6767" w:rsidP="0055291B">
      <w:pPr>
        <w:pStyle w:val="ListParagraph"/>
        <w:numPr>
          <w:ilvl w:val="0"/>
          <w:numId w:val="7"/>
        </w:numPr>
        <w:autoSpaceDE w:val="0"/>
        <w:autoSpaceDN w:val="0"/>
        <w:adjustRightInd w:val="0"/>
        <w:rPr>
          <w:rFonts w:cstheme="minorHAnsi"/>
          <w:kern w:val="0"/>
        </w:rPr>
      </w:pPr>
      <w:r w:rsidRPr="0055291B">
        <w:rPr>
          <w:rFonts w:cstheme="minorHAnsi"/>
          <w:kern w:val="0"/>
        </w:rPr>
        <w:t>Georgetown University Medical Center</w:t>
      </w:r>
    </w:p>
    <w:p w:rsidR="008E6767" w:rsidRPr="0055291B" w:rsidRDefault="008E6767" w:rsidP="0055291B">
      <w:pPr>
        <w:pStyle w:val="ListParagraph"/>
        <w:numPr>
          <w:ilvl w:val="0"/>
          <w:numId w:val="7"/>
        </w:numPr>
        <w:autoSpaceDE w:val="0"/>
        <w:autoSpaceDN w:val="0"/>
        <w:adjustRightInd w:val="0"/>
        <w:rPr>
          <w:rFonts w:cstheme="minorHAnsi"/>
          <w:kern w:val="0"/>
        </w:rPr>
      </w:pPr>
      <w:r w:rsidRPr="0055291B">
        <w:rPr>
          <w:rFonts w:cstheme="minorHAnsi"/>
          <w:kern w:val="0"/>
        </w:rPr>
        <w:t>Kentucky Children's Hospital Hematology / Oncology</w:t>
      </w:r>
    </w:p>
    <w:p w:rsidR="008E6767" w:rsidRPr="0055291B" w:rsidRDefault="008E6767" w:rsidP="0055291B">
      <w:pPr>
        <w:pStyle w:val="ListParagraph"/>
        <w:numPr>
          <w:ilvl w:val="0"/>
          <w:numId w:val="7"/>
        </w:numPr>
        <w:autoSpaceDE w:val="0"/>
        <w:autoSpaceDN w:val="0"/>
        <w:adjustRightInd w:val="0"/>
        <w:rPr>
          <w:rFonts w:cstheme="minorHAnsi"/>
          <w:kern w:val="0"/>
        </w:rPr>
      </w:pPr>
      <w:r w:rsidRPr="0055291B">
        <w:rPr>
          <w:rFonts w:cstheme="minorHAnsi"/>
          <w:kern w:val="0"/>
        </w:rPr>
        <w:t>MD Anderson Cancer Center</w:t>
      </w:r>
    </w:p>
    <w:p w:rsidR="008E6767" w:rsidRPr="0055291B" w:rsidRDefault="008E6767" w:rsidP="0055291B">
      <w:pPr>
        <w:pStyle w:val="ListParagraph"/>
        <w:numPr>
          <w:ilvl w:val="0"/>
          <w:numId w:val="7"/>
        </w:numPr>
        <w:autoSpaceDE w:val="0"/>
        <w:autoSpaceDN w:val="0"/>
        <w:adjustRightInd w:val="0"/>
        <w:rPr>
          <w:rFonts w:cstheme="minorHAnsi"/>
          <w:kern w:val="0"/>
        </w:rPr>
      </w:pPr>
      <w:r w:rsidRPr="0055291B">
        <w:rPr>
          <w:rFonts w:cstheme="minorHAnsi"/>
          <w:kern w:val="0"/>
        </w:rPr>
        <w:t>Memorial Sloan Kettering Cancer Center</w:t>
      </w:r>
    </w:p>
    <w:p w:rsidR="008E6767" w:rsidRPr="0055291B" w:rsidRDefault="008E6767" w:rsidP="0055291B">
      <w:pPr>
        <w:pStyle w:val="ListParagraph"/>
        <w:numPr>
          <w:ilvl w:val="0"/>
          <w:numId w:val="7"/>
        </w:numPr>
        <w:autoSpaceDE w:val="0"/>
        <w:autoSpaceDN w:val="0"/>
        <w:adjustRightInd w:val="0"/>
        <w:rPr>
          <w:rFonts w:cstheme="minorHAnsi"/>
          <w:kern w:val="0"/>
        </w:rPr>
      </w:pPr>
      <w:r w:rsidRPr="0055291B">
        <w:rPr>
          <w:rFonts w:cstheme="minorHAnsi"/>
          <w:kern w:val="0"/>
        </w:rPr>
        <w:t>Dana Farber Cancer Institute</w:t>
      </w:r>
    </w:p>
    <w:p w:rsidR="008E6767" w:rsidRPr="0055291B" w:rsidRDefault="008E6767" w:rsidP="0055291B">
      <w:pPr>
        <w:pStyle w:val="ListParagraph"/>
        <w:numPr>
          <w:ilvl w:val="0"/>
          <w:numId w:val="7"/>
        </w:numPr>
        <w:autoSpaceDE w:val="0"/>
        <w:autoSpaceDN w:val="0"/>
        <w:adjustRightInd w:val="0"/>
        <w:rPr>
          <w:rFonts w:cstheme="minorHAnsi"/>
          <w:kern w:val="0"/>
        </w:rPr>
      </w:pPr>
      <w:r w:rsidRPr="0055291B">
        <w:rPr>
          <w:rFonts w:cstheme="minorHAnsi"/>
          <w:kern w:val="0"/>
        </w:rPr>
        <w:t>Moffitt Cancer Center</w:t>
      </w:r>
    </w:p>
    <w:p w:rsidR="008E6767" w:rsidRPr="0055291B" w:rsidRDefault="008E6767" w:rsidP="0055291B">
      <w:pPr>
        <w:pStyle w:val="ListParagraph"/>
        <w:numPr>
          <w:ilvl w:val="0"/>
          <w:numId w:val="7"/>
        </w:numPr>
        <w:autoSpaceDE w:val="0"/>
        <w:autoSpaceDN w:val="0"/>
        <w:adjustRightInd w:val="0"/>
        <w:rPr>
          <w:rFonts w:cstheme="minorHAnsi"/>
          <w:kern w:val="0"/>
        </w:rPr>
      </w:pPr>
      <w:r w:rsidRPr="0055291B">
        <w:rPr>
          <w:rFonts w:cstheme="minorHAnsi"/>
          <w:kern w:val="0"/>
        </w:rPr>
        <w:t>St Jude Children’s Research Hospital</w:t>
      </w:r>
    </w:p>
    <w:p w:rsidR="008E6767" w:rsidRPr="0055291B" w:rsidRDefault="008E6767" w:rsidP="0055291B">
      <w:pPr>
        <w:pStyle w:val="ListParagraph"/>
        <w:numPr>
          <w:ilvl w:val="0"/>
          <w:numId w:val="7"/>
        </w:numPr>
        <w:autoSpaceDE w:val="0"/>
        <w:autoSpaceDN w:val="0"/>
        <w:adjustRightInd w:val="0"/>
        <w:rPr>
          <w:rFonts w:cstheme="minorHAnsi"/>
          <w:kern w:val="0"/>
        </w:rPr>
      </w:pPr>
      <w:r w:rsidRPr="0055291B">
        <w:rPr>
          <w:rFonts w:cstheme="minorHAnsi"/>
          <w:kern w:val="0"/>
        </w:rPr>
        <w:t>Seattle Children’s Hospital</w:t>
      </w:r>
    </w:p>
    <w:p w:rsidR="008E6767" w:rsidRPr="0055291B" w:rsidRDefault="008E6767" w:rsidP="0055291B">
      <w:pPr>
        <w:pStyle w:val="ListParagraph"/>
        <w:numPr>
          <w:ilvl w:val="0"/>
          <w:numId w:val="7"/>
        </w:numPr>
        <w:autoSpaceDE w:val="0"/>
        <w:autoSpaceDN w:val="0"/>
        <w:adjustRightInd w:val="0"/>
        <w:rPr>
          <w:rFonts w:cstheme="minorHAnsi"/>
          <w:kern w:val="0"/>
        </w:rPr>
      </w:pPr>
      <w:r w:rsidRPr="0055291B">
        <w:rPr>
          <w:rFonts w:cstheme="minorHAnsi"/>
          <w:kern w:val="0"/>
        </w:rPr>
        <w:t>Texas Children’s Hospital</w:t>
      </w:r>
    </w:p>
    <w:p w:rsidR="0055291B" w:rsidRDefault="008E6767" w:rsidP="0055291B">
      <w:pPr>
        <w:pStyle w:val="ListParagraph"/>
        <w:numPr>
          <w:ilvl w:val="0"/>
          <w:numId w:val="7"/>
        </w:numPr>
        <w:autoSpaceDE w:val="0"/>
        <w:autoSpaceDN w:val="0"/>
        <w:adjustRightInd w:val="0"/>
        <w:rPr>
          <w:rFonts w:cstheme="minorHAnsi"/>
          <w:kern w:val="0"/>
        </w:rPr>
      </w:pPr>
      <w:r w:rsidRPr="0055291B">
        <w:rPr>
          <w:rFonts w:cstheme="minorHAnsi"/>
          <w:kern w:val="0"/>
        </w:rPr>
        <w:t>University of Florida Health</w:t>
      </w:r>
    </w:p>
    <w:p w:rsidR="0055291B" w:rsidRPr="0055291B" w:rsidRDefault="0055291B" w:rsidP="0055291B">
      <w:pPr>
        <w:pStyle w:val="ListParagraph"/>
        <w:numPr>
          <w:ilvl w:val="0"/>
          <w:numId w:val="7"/>
        </w:numPr>
        <w:autoSpaceDE w:val="0"/>
        <w:autoSpaceDN w:val="0"/>
        <w:adjustRightInd w:val="0"/>
        <w:rPr>
          <w:rFonts w:cstheme="minorHAnsi"/>
          <w:kern w:val="0"/>
        </w:rPr>
      </w:pPr>
      <w:r w:rsidRPr="0055291B">
        <w:rPr>
          <w:rFonts w:cstheme="minorHAnsi"/>
          <w:color w:val="222222"/>
          <w:shd w:val="clear" w:color="auto" w:fill="FFFFFF"/>
        </w:rPr>
        <w:t>American Family Children’s Hospital (UW-Madison) -Hematology-Oncology-BMT</w:t>
      </w:r>
    </w:p>
    <w:p w:rsidR="008E6767" w:rsidRPr="0055291B" w:rsidRDefault="008E6767" w:rsidP="0055291B">
      <w:pPr>
        <w:pStyle w:val="ListParagraph"/>
        <w:numPr>
          <w:ilvl w:val="0"/>
          <w:numId w:val="7"/>
        </w:numPr>
        <w:autoSpaceDE w:val="0"/>
        <w:autoSpaceDN w:val="0"/>
        <w:adjustRightInd w:val="0"/>
        <w:rPr>
          <w:rFonts w:cstheme="minorHAnsi"/>
          <w:kern w:val="0"/>
        </w:rPr>
      </w:pPr>
      <w:r w:rsidRPr="0055291B">
        <w:rPr>
          <w:rFonts w:cstheme="minorHAnsi"/>
          <w:kern w:val="0"/>
        </w:rPr>
        <w:t>Children's Oncology Group (COG)</w:t>
      </w:r>
    </w:p>
    <w:p w:rsidR="008E6767" w:rsidRPr="0055291B" w:rsidRDefault="008E6767" w:rsidP="0055291B">
      <w:pPr>
        <w:pStyle w:val="ListParagraph"/>
        <w:numPr>
          <w:ilvl w:val="0"/>
          <w:numId w:val="7"/>
        </w:numPr>
        <w:autoSpaceDE w:val="0"/>
        <w:autoSpaceDN w:val="0"/>
        <w:adjustRightInd w:val="0"/>
        <w:rPr>
          <w:rFonts w:cstheme="minorHAnsi"/>
          <w:kern w:val="0"/>
        </w:rPr>
      </w:pPr>
      <w:r w:rsidRPr="0055291B">
        <w:rPr>
          <w:rFonts w:cstheme="minorHAnsi"/>
          <w:kern w:val="0"/>
        </w:rPr>
        <w:t>Pediatric Brain Tumor Consortium (PBTC)</w:t>
      </w:r>
    </w:p>
    <w:p w:rsidR="008E6767" w:rsidRPr="0055291B" w:rsidRDefault="008E6767" w:rsidP="0055291B">
      <w:pPr>
        <w:pStyle w:val="ListParagraph"/>
        <w:numPr>
          <w:ilvl w:val="0"/>
          <w:numId w:val="7"/>
        </w:numPr>
        <w:autoSpaceDE w:val="0"/>
        <w:autoSpaceDN w:val="0"/>
        <w:adjustRightInd w:val="0"/>
        <w:rPr>
          <w:rFonts w:cstheme="minorHAnsi"/>
          <w:kern w:val="0"/>
        </w:rPr>
      </w:pPr>
      <w:r w:rsidRPr="0055291B">
        <w:rPr>
          <w:rFonts w:cstheme="minorHAnsi"/>
          <w:kern w:val="0"/>
        </w:rPr>
        <w:t>New Approaches to Neuroblastoma Therapy (NANT)</w:t>
      </w:r>
    </w:p>
    <w:p w:rsidR="008E6767" w:rsidRPr="0055291B" w:rsidRDefault="008E6767" w:rsidP="0055291B">
      <w:pPr>
        <w:pStyle w:val="ListParagraph"/>
        <w:numPr>
          <w:ilvl w:val="0"/>
          <w:numId w:val="7"/>
        </w:numPr>
        <w:autoSpaceDE w:val="0"/>
        <w:autoSpaceDN w:val="0"/>
        <w:adjustRightInd w:val="0"/>
        <w:rPr>
          <w:rFonts w:cstheme="minorHAnsi"/>
          <w:kern w:val="0"/>
        </w:rPr>
      </w:pPr>
      <w:r w:rsidRPr="0055291B">
        <w:rPr>
          <w:rFonts w:cstheme="minorHAnsi"/>
          <w:kern w:val="0"/>
        </w:rPr>
        <w:t>Pacific Pediatric Neuro-Oncology Consortium (PNOC)</w:t>
      </w:r>
    </w:p>
    <w:p w:rsidR="008E6767" w:rsidRPr="0055291B" w:rsidRDefault="008E6767" w:rsidP="0055291B">
      <w:pPr>
        <w:pStyle w:val="ListParagraph"/>
        <w:numPr>
          <w:ilvl w:val="0"/>
          <w:numId w:val="7"/>
        </w:numPr>
        <w:autoSpaceDE w:val="0"/>
        <w:autoSpaceDN w:val="0"/>
        <w:adjustRightInd w:val="0"/>
        <w:rPr>
          <w:rFonts w:cstheme="minorHAnsi"/>
          <w:kern w:val="0"/>
        </w:rPr>
      </w:pPr>
      <w:r w:rsidRPr="0055291B">
        <w:rPr>
          <w:rFonts w:cstheme="minorHAnsi"/>
          <w:kern w:val="0"/>
        </w:rPr>
        <w:t>Pediatric Oncology Experimental Investigators' Consortium (POETIC)</w:t>
      </w:r>
    </w:p>
    <w:p w:rsidR="00FE6673" w:rsidRPr="0055291B" w:rsidRDefault="008E6767" w:rsidP="0055291B">
      <w:pPr>
        <w:pStyle w:val="ListParagraph"/>
        <w:numPr>
          <w:ilvl w:val="0"/>
          <w:numId w:val="7"/>
        </w:numPr>
        <w:autoSpaceDE w:val="0"/>
        <w:autoSpaceDN w:val="0"/>
        <w:adjustRightInd w:val="0"/>
        <w:rPr>
          <w:rFonts w:cstheme="minorHAnsi"/>
          <w:i/>
          <w:iCs/>
          <w:kern w:val="0"/>
          <w:sz w:val="40"/>
          <w:szCs w:val="40"/>
        </w:rPr>
      </w:pPr>
      <w:r w:rsidRPr="0055291B">
        <w:rPr>
          <w:rFonts w:cstheme="minorHAnsi"/>
          <w:i/>
          <w:iCs/>
          <w:kern w:val="0"/>
        </w:rPr>
        <w:t>DIPG Preclinical Consortiu</w:t>
      </w:r>
      <w:r w:rsidR="00DD2BCA" w:rsidRPr="0055291B">
        <w:rPr>
          <w:rFonts w:cstheme="minorHAnsi"/>
          <w:i/>
          <w:iCs/>
          <w:kern w:val="0"/>
        </w:rPr>
        <w:t>m</w:t>
      </w:r>
    </w:p>
    <w:sectPr w:rsidR="00FE6673" w:rsidRPr="0055291B" w:rsidSect="004464C5">
      <w:pgSz w:w="12240" w:h="15840"/>
      <w:pgMar w:top="1008" w:right="144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141F"/>
    <w:multiLevelType w:val="hybridMultilevel"/>
    <w:tmpl w:val="4E5C74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EF94CBA"/>
    <w:multiLevelType w:val="hybridMultilevel"/>
    <w:tmpl w:val="38C08BE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152631E"/>
    <w:multiLevelType w:val="hybridMultilevel"/>
    <w:tmpl w:val="7BE8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E2048"/>
    <w:multiLevelType w:val="hybridMultilevel"/>
    <w:tmpl w:val="1E4E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87167"/>
    <w:multiLevelType w:val="hybridMultilevel"/>
    <w:tmpl w:val="E4C29A6E"/>
    <w:lvl w:ilvl="0" w:tplc="82A0DD42">
      <w:numFmt w:val="bullet"/>
      <w:lvlText w:val="•"/>
      <w:lvlJc w:val="left"/>
      <w:pPr>
        <w:ind w:left="720" w:hanging="360"/>
      </w:pPr>
      <w:rPr>
        <w:rFonts w:ascii="Calibri" w:eastAsiaTheme="minorHAns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C6340"/>
    <w:multiLevelType w:val="hybridMultilevel"/>
    <w:tmpl w:val="2D8A92CA"/>
    <w:lvl w:ilvl="0" w:tplc="B472F5F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F15AC7"/>
    <w:multiLevelType w:val="hybridMultilevel"/>
    <w:tmpl w:val="8520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7686565">
    <w:abstractNumId w:val="5"/>
  </w:num>
  <w:num w:numId="2" w16cid:durableId="873275848">
    <w:abstractNumId w:val="1"/>
  </w:num>
  <w:num w:numId="3" w16cid:durableId="331834250">
    <w:abstractNumId w:val="6"/>
  </w:num>
  <w:num w:numId="4" w16cid:durableId="2137260566">
    <w:abstractNumId w:val="2"/>
  </w:num>
  <w:num w:numId="5" w16cid:durableId="1061634302">
    <w:abstractNumId w:val="0"/>
  </w:num>
  <w:num w:numId="6" w16cid:durableId="1619140845">
    <w:abstractNumId w:val="3"/>
  </w:num>
  <w:num w:numId="7" w16cid:durableId="1389571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F0"/>
    <w:rsid w:val="001677DF"/>
    <w:rsid w:val="001B4503"/>
    <w:rsid w:val="001F04A8"/>
    <w:rsid w:val="001F7AAC"/>
    <w:rsid w:val="00311738"/>
    <w:rsid w:val="00320ABF"/>
    <w:rsid w:val="00365802"/>
    <w:rsid w:val="00367548"/>
    <w:rsid w:val="0038529C"/>
    <w:rsid w:val="003E574D"/>
    <w:rsid w:val="00407454"/>
    <w:rsid w:val="0043442E"/>
    <w:rsid w:val="00443972"/>
    <w:rsid w:val="004464C5"/>
    <w:rsid w:val="00467ECE"/>
    <w:rsid w:val="004A747A"/>
    <w:rsid w:val="004B3DD4"/>
    <w:rsid w:val="004B490E"/>
    <w:rsid w:val="0055291B"/>
    <w:rsid w:val="006018BD"/>
    <w:rsid w:val="0064251D"/>
    <w:rsid w:val="006A5EE4"/>
    <w:rsid w:val="006E0427"/>
    <w:rsid w:val="007000E3"/>
    <w:rsid w:val="007A3AF7"/>
    <w:rsid w:val="00871379"/>
    <w:rsid w:val="008C22DB"/>
    <w:rsid w:val="008E6767"/>
    <w:rsid w:val="00902A29"/>
    <w:rsid w:val="00965F40"/>
    <w:rsid w:val="009D2565"/>
    <w:rsid w:val="00A223D3"/>
    <w:rsid w:val="00A81229"/>
    <w:rsid w:val="00AD11D1"/>
    <w:rsid w:val="00B20EAF"/>
    <w:rsid w:val="00B36B24"/>
    <w:rsid w:val="00B574B7"/>
    <w:rsid w:val="00BB2F54"/>
    <w:rsid w:val="00BE2405"/>
    <w:rsid w:val="00C52A94"/>
    <w:rsid w:val="00C754FC"/>
    <w:rsid w:val="00C808D4"/>
    <w:rsid w:val="00CA4668"/>
    <w:rsid w:val="00CE1C7A"/>
    <w:rsid w:val="00CF218E"/>
    <w:rsid w:val="00D96C88"/>
    <w:rsid w:val="00DA3C62"/>
    <w:rsid w:val="00DC4BB8"/>
    <w:rsid w:val="00DC6EF0"/>
    <w:rsid w:val="00DD2BCA"/>
    <w:rsid w:val="00DF1FF5"/>
    <w:rsid w:val="00E2347A"/>
    <w:rsid w:val="00EF79B0"/>
    <w:rsid w:val="00F23223"/>
    <w:rsid w:val="00FE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77E9B3"/>
  <w15:chartTrackingRefBased/>
  <w15:docId w15:val="{9FACB33C-EF56-2149-9ABE-0C7CDE7C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EF0"/>
    <w:rPr>
      <w:color w:val="0000FF"/>
      <w:u w:val="single"/>
    </w:rPr>
  </w:style>
  <w:style w:type="paragraph" w:styleId="ListParagraph">
    <w:name w:val="List Paragraph"/>
    <w:basedOn w:val="Normal"/>
    <w:uiPriority w:val="34"/>
    <w:qFormat/>
    <w:rsid w:val="00DC6EF0"/>
    <w:pPr>
      <w:ind w:left="720"/>
      <w:contextualSpacing/>
    </w:pPr>
  </w:style>
  <w:style w:type="character" w:styleId="UnresolvedMention">
    <w:name w:val="Unresolved Mention"/>
    <w:basedOn w:val="DefaultParagraphFont"/>
    <w:uiPriority w:val="99"/>
    <w:semiHidden/>
    <w:unhideWhenUsed/>
    <w:rsid w:val="00DC6EF0"/>
    <w:rPr>
      <w:color w:val="605E5C"/>
      <w:shd w:val="clear" w:color="auto" w:fill="E1DFDD"/>
    </w:rPr>
  </w:style>
  <w:style w:type="table" w:styleId="TableGrid">
    <w:name w:val="Table Grid"/>
    <w:basedOn w:val="TableNormal"/>
    <w:uiPriority w:val="39"/>
    <w:rsid w:val="00446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ncygoodman@kidsvcanc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rdan.Brossi@mail.house.gov" TargetMode="External"/><Relationship Id="rId5" Type="http://schemas.openxmlformats.org/officeDocument/2006/relationships/hyperlink" Target="mailto:Eric.Kim@mail.hous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750</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Goodman</dc:creator>
  <cp:keywords/>
  <dc:description/>
  <cp:lastModifiedBy>Nancy Goodman</cp:lastModifiedBy>
  <cp:revision>7</cp:revision>
  <cp:lastPrinted>2024-02-20T13:04:00Z</cp:lastPrinted>
  <dcterms:created xsi:type="dcterms:W3CDTF">2024-01-21T18:37:00Z</dcterms:created>
  <dcterms:modified xsi:type="dcterms:W3CDTF">2024-02-21T17:36:00Z</dcterms:modified>
</cp:coreProperties>
</file>